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6970B4">
        <w:rPr>
          <w:b/>
          <w:sz w:val="24"/>
          <w:szCs w:val="24"/>
        </w:rPr>
        <w:t>eeting:</w:t>
      </w:r>
      <w:r w:rsidR="006970B4">
        <w:rPr>
          <w:b/>
          <w:sz w:val="24"/>
          <w:szCs w:val="24"/>
        </w:rPr>
        <w:tab/>
        <w:t>Tuesday 20 June 2013</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6970B4" w:rsidP="007B7BE7">
      <w:pPr>
        <w:pStyle w:val="NoSpacing"/>
        <w:ind w:left="1440"/>
        <w:rPr>
          <w:sz w:val="24"/>
          <w:szCs w:val="24"/>
        </w:rPr>
      </w:pPr>
      <w:r>
        <w:rPr>
          <w:sz w:val="24"/>
          <w:szCs w:val="24"/>
        </w:rPr>
        <w:t xml:space="preserve">David Lewis, </w:t>
      </w:r>
      <w:r w:rsidR="000C2105">
        <w:rPr>
          <w:sz w:val="24"/>
          <w:szCs w:val="24"/>
        </w:rPr>
        <w:t xml:space="preserve">C Shaw, </w:t>
      </w:r>
      <w:r>
        <w:rPr>
          <w:sz w:val="24"/>
          <w:szCs w:val="24"/>
        </w:rPr>
        <w:t xml:space="preserve">R </w:t>
      </w:r>
      <w:proofErr w:type="spellStart"/>
      <w:r>
        <w:rPr>
          <w:sz w:val="24"/>
          <w:szCs w:val="24"/>
        </w:rPr>
        <w:t>Struss</w:t>
      </w:r>
      <w:proofErr w:type="spellEnd"/>
      <w:r>
        <w:rPr>
          <w:sz w:val="24"/>
          <w:szCs w:val="24"/>
        </w:rPr>
        <w:t xml:space="preserve">, S </w:t>
      </w:r>
      <w:proofErr w:type="spellStart"/>
      <w:r>
        <w:rPr>
          <w:sz w:val="24"/>
          <w:szCs w:val="24"/>
        </w:rPr>
        <w:t>Struss</w:t>
      </w:r>
      <w:proofErr w:type="spellEnd"/>
      <w:r>
        <w:rPr>
          <w:sz w:val="24"/>
          <w:szCs w:val="24"/>
        </w:rPr>
        <w:t>, Ro</w:t>
      </w:r>
      <w:r w:rsidR="004D695A">
        <w:rPr>
          <w:sz w:val="24"/>
          <w:szCs w:val="24"/>
        </w:rPr>
        <w:t>sie Smart (Clerk to Earls Barton Parish Council)</w:t>
      </w:r>
      <w:r w:rsidR="00BC1D48">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6970B4" w:rsidP="00AC20FE">
            <w:pPr>
              <w:pStyle w:val="NoSpacing"/>
              <w:rPr>
                <w:sz w:val="24"/>
                <w:szCs w:val="24"/>
              </w:rPr>
            </w:pPr>
            <w:r>
              <w:rPr>
                <w:sz w:val="24"/>
                <w:szCs w:val="24"/>
              </w:rPr>
              <w:t xml:space="preserve">Andrew </w:t>
            </w:r>
            <w:proofErr w:type="spellStart"/>
            <w:r>
              <w:rPr>
                <w:sz w:val="24"/>
                <w:szCs w:val="24"/>
              </w:rPr>
              <w:t>Rozzier</w:t>
            </w:r>
            <w:proofErr w:type="spellEnd"/>
            <w:r>
              <w:rPr>
                <w:sz w:val="24"/>
                <w:szCs w:val="24"/>
              </w:rPr>
              <w:t xml:space="preserve"> &amp; Ron Sheffield</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6970B4">
            <w:pPr>
              <w:pStyle w:val="NoSpacing"/>
              <w:rPr>
                <w:sz w:val="24"/>
                <w:szCs w:val="24"/>
              </w:rPr>
            </w:pPr>
            <w:r w:rsidRPr="003F1BCD">
              <w:rPr>
                <w:sz w:val="24"/>
                <w:szCs w:val="24"/>
              </w:rPr>
              <w:t xml:space="preserve">The minutes for the meeting held </w:t>
            </w:r>
            <w:r w:rsidR="006970B4">
              <w:rPr>
                <w:sz w:val="24"/>
                <w:szCs w:val="24"/>
              </w:rPr>
              <w:t>7 May</w:t>
            </w:r>
            <w:r w:rsidR="007B7BE7" w:rsidRPr="003F1BCD">
              <w:rPr>
                <w:sz w:val="24"/>
                <w:szCs w:val="24"/>
              </w:rPr>
              <w:t xml:space="preserve"> </w:t>
            </w:r>
            <w:r w:rsidR="000C2105" w:rsidRPr="003F1BCD">
              <w:rPr>
                <w:sz w:val="24"/>
                <w:szCs w:val="24"/>
              </w:rPr>
              <w:t>201</w:t>
            </w:r>
            <w:r w:rsidR="00BC1D48">
              <w:rPr>
                <w:sz w:val="24"/>
                <w:szCs w:val="24"/>
              </w:rPr>
              <w:t>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6970B4" w:rsidP="004D695A">
            <w:pPr>
              <w:pStyle w:val="NoSpacing"/>
              <w:rPr>
                <w:b/>
                <w:sz w:val="24"/>
                <w:szCs w:val="24"/>
              </w:rPr>
            </w:pPr>
            <w:r>
              <w:rPr>
                <w:b/>
                <w:sz w:val="24"/>
                <w:szCs w:val="24"/>
              </w:rPr>
              <w:t xml:space="preserve">Review of </w:t>
            </w:r>
            <w:proofErr w:type="spellStart"/>
            <w:r>
              <w:rPr>
                <w:b/>
                <w:sz w:val="24"/>
                <w:szCs w:val="24"/>
              </w:rPr>
              <w:t>Irchester</w:t>
            </w:r>
            <w:proofErr w:type="spellEnd"/>
            <w:r>
              <w:rPr>
                <w:b/>
                <w:sz w:val="24"/>
                <w:szCs w:val="24"/>
              </w:rPr>
              <w:t xml:space="preserve"> Appeal:</w:t>
            </w:r>
          </w:p>
          <w:p w:rsidR="00F055AC" w:rsidRPr="003F1BCD" w:rsidRDefault="006970B4" w:rsidP="006970B4">
            <w:pPr>
              <w:pStyle w:val="NoSpacing"/>
              <w:rPr>
                <w:sz w:val="24"/>
                <w:szCs w:val="24"/>
              </w:rPr>
            </w:pPr>
            <w:r>
              <w:rPr>
                <w:sz w:val="24"/>
                <w:szCs w:val="24"/>
              </w:rPr>
              <w:t xml:space="preserve">The appeal was upheld by the Planning Inspector based on the transport and landscaping impact.  BCW employed a top QC and carried out </w:t>
            </w:r>
            <w:proofErr w:type="spellStart"/>
            <w:proofErr w:type="gramStart"/>
            <w:r>
              <w:rPr>
                <w:sz w:val="24"/>
                <w:szCs w:val="24"/>
              </w:rPr>
              <w:t>it’s</w:t>
            </w:r>
            <w:proofErr w:type="spellEnd"/>
            <w:proofErr w:type="gramEnd"/>
            <w:r>
              <w:rPr>
                <w:sz w:val="24"/>
                <w:szCs w:val="24"/>
              </w:rPr>
              <w:t xml:space="preserve"> own transport assessment.  Were much better prepared that at the Compton Way appeal.  There is no guarantee for EB in a future appeal but there is hope.</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F055AC" w:rsidRPr="003F1BCD" w:rsidRDefault="00F055AC" w:rsidP="00743749">
            <w:pPr>
              <w:pStyle w:val="NoSpacing"/>
              <w:rPr>
                <w:sz w:val="24"/>
                <w:szCs w:val="24"/>
              </w:rPr>
            </w:pP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D695A" w:rsidRPr="003F1BCD" w:rsidRDefault="006970B4" w:rsidP="004D695A">
            <w:pPr>
              <w:pStyle w:val="NoSpacing"/>
              <w:rPr>
                <w:b/>
                <w:sz w:val="24"/>
                <w:szCs w:val="24"/>
              </w:rPr>
            </w:pPr>
            <w:r>
              <w:rPr>
                <w:b/>
                <w:sz w:val="24"/>
                <w:szCs w:val="24"/>
              </w:rPr>
              <w:t xml:space="preserve">Review of BCW/EBPC meetings with </w:t>
            </w:r>
            <w:proofErr w:type="spellStart"/>
            <w:r>
              <w:rPr>
                <w:b/>
                <w:sz w:val="24"/>
                <w:szCs w:val="24"/>
              </w:rPr>
              <w:t>Redrow</w:t>
            </w:r>
            <w:proofErr w:type="spellEnd"/>
            <w:r w:rsidR="00743749" w:rsidRPr="003F1BCD">
              <w:rPr>
                <w:b/>
                <w:sz w:val="24"/>
                <w:szCs w:val="24"/>
              </w:rPr>
              <w:t>:</w:t>
            </w:r>
          </w:p>
          <w:p w:rsidR="00096AF4" w:rsidRPr="003F1BCD" w:rsidRDefault="006970B4" w:rsidP="006970B4">
            <w:pPr>
              <w:pStyle w:val="NoSpacing"/>
              <w:rPr>
                <w:sz w:val="24"/>
                <w:szCs w:val="24"/>
              </w:rPr>
            </w:pPr>
            <w:r>
              <w:rPr>
                <w:sz w:val="24"/>
                <w:szCs w:val="24"/>
              </w:rPr>
              <w:t xml:space="preserve">A meeting was held with </w:t>
            </w:r>
            <w:proofErr w:type="spellStart"/>
            <w:r>
              <w:rPr>
                <w:sz w:val="24"/>
                <w:szCs w:val="24"/>
              </w:rPr>
              <w:t>Redrow</w:t>
            </w:r>
            <w:proofErr w:type="spellEnd"/>
            <w:r>
              <w:rPr>
                <w:sz w:val="24"/>
                <w:szCs w:val="24"/>
              </w:rPr>
              <w:t xml:space="preserve"> to discuss their proposals for a development of up to 85 homes off Station Road/</w:t>
            </w:r>
            <w:proofErr w:type="spellStart"/>
            <w:r>
              <w:rPr>
                <w:sz w:val="24"/>
                <w:szCs w:val="24"/>
              </w:rPr>
              <w:t>Allebone</w:t>
            </w:r>
            <w:proofErr w:type="spellEnd"/>
            <w:r>
              <w:rPr>
                <w:sz w:val="24"/>
                <w:szCs w:val="24"/>
              </w:rPr>
              <w:t xml:space="preserve"> Road.  A public exhibition is due to be held 16 July.  The development includes a mix of housing stock, inc affordable housing, but is not in line with the Neighbourhood Plan.</w:t>
            </w:r>
          </w:p>
        </w:tc>
        <w:tc>
          <w:tcPr>
            <w:tcW w:w="1797" w:type="dxa"/>
          </w:tcPr>
          <w:p w:rsidR="00B83E37" w:rsidRPr="003F1BCD" w:rsidRDefault="00B83E37" w:rsidP="00BB61A7">
            <w:pPr>
              <w:pStyle w:val="NoSpacing"/>
              <w:rPr>
                <w:sz w:val="24"/>
                <w:szCs w:val="24"/>
              </w:rPr>
            </w:pPr>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4D695A" w:rsidRPr="003F1BCD" w:rsidRDefault="006970B4" w:rsidP="004D695A">
            <w:pPr>
              <w:pStyle w:val="NoSpacing"/>
              <w:rPr>
                <w:b/>
                <w:sz w:val="24"/>
                <w:szCs w:val="24"/>
              </w:rPr>
            </w:pPr>
            <w:r>
              <w:rPr>
                <w:b/>
                <w:sz w:val="24"/>
                <w:szCs w:val="24"/>
              </w:rPr>
              <w:t>Review &amp; Implications of EBPC Forthcoming Meeting with Landowners/Developer of North Site:</w:t>
            </w:r>
          </w:p>
          <w:p w:rsidR="007A11DC" w:rsidRPr="003F1BCD" w:rsidRDefault="006970B4" w:rsidP="006970B4">
            <w:pPr>
              <w:pStyle w:val="NoSpacing"/>
              <w:rPr>
                <w:sz w:val="24"/>
                <w:szCs w:val="24"/>
              </w:rPr>
            </w:pPr>
            <w:r>
              <w:rPr>
                <w:sz w:val="24"/>
                <w:szCs w:val="24"/>
              </w:rPr>
              <w:t xml:space="preserve">A meeting is due to be held 8 July.  A Community Event will be arranged for the Autumn to involve the community in a Development by Design consultation.  Hoped to be a collaborative approach between EBPC/Neighbourhood Plan Project Group/Landowners/Developers.  The Neighbourhood Plan Project Group </w:t>
            </w:r>
            <w:proofErr w:type="gramStart"/>
            <w:r>
              <w:rPr>
                <w:sz w:val="24"/>
                <w:szCs w:val="24"/>
              </w:rPr>
              <w:t>are</w:t>
            </w:r>
            <w:proofErr w:type="gramEnd"/>
            <w:r>
              <w:rPr>
                <w:sz w:val="24"/>
                <w:szCs w:val="24"/>
              </w:rPr>
              <w:t xml:space="preserve"> to look at taking forward the draft Neighbourhood Plan based on the preferred option.</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BB45A5" w:rsidRPr="003F1BCD" w:rsidRDefault="00BB45A5" w:rsidP="00096AF4">
            <w:pPr>
              <w:pStyle w:val="NoSpacing"/>
              <w:rPr>
                <w:sz w:val="24"/>
                <w:szCs w:val="24"/>
              </w:rPr>
            </w:pPr>
          </w:p>
          <w:p w:rsidR="00BB45A5" w:rsidRPr="003F1BCD" w:rsidRDefault="00BB45A5" w:rsidP="00096AF4">
            <w:pPr>
              <w:pStyle w:val="NoSpacing"/>
              <w:rPr>
                <w:sz w:val="24"/>
                <w:szCs w:val="24"/>
              </w:rPr>
            </w:pPr>
            <w:r w:rsidRPr="003F1BCD">
              <w:rPr>
                <w:sz w:val="24"/>
                <w:szCs w:val="24"/>
              </w:rPr>
              <w:t>JW</w:t>
            </w:r>
            <w:r w:rsidR="00961AEA">
              <w:rPr>
                <w:sz w:val="24"/>
                <w:szCs w:val="24"/>
              </w:rPr>
              <w:t>/</w:t>
            </w:r>
            <w:r w:rsidR="006970B4">
              <w:rPr>
                <w:sz w:val="24"/>
                <w:szCs w:val="24"/>
              </w:rPr>
              <w:t>ALL</w:t>
            </w: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t>6.</w:t>
            </w:r>
          </w:p>
        </w:tc>
        <w:tc>
          <w:tcPr>
            <w:tcW w:w="6496" w:type="dxa"/>
          </w:tcPr>
          <w:p w:rsidR="009049FD" w:rsidRDefault="006970B4" w:rsidP="00BE30D1">
            <w:pPr>
              <w:pStyle w:val="NoSpacing"/>
              <w:rPr>
                <w:b/>
                <w:sz w:val="24"/>
                <w:szCs w:val="24"/>
              </w:rPr>
            </w:pPr>
            <w:r>
              <w:rPr>
                <w:b/>
                <w:sz w:val="24"/>
                <w:szCs w:val="24"/>
              </w:rPr>
              <w:t>Selection &amp; Interview of Property Consultants for Development Viability Appraisal Work:</w:t>
            </w:r>
            <w:r w:rsidR="007819B9" w:rsidRPr="003F1BCD">
              <w:rPr>
                <w:b/>
                <w:sz w:val="24"/>
                <w:szCs w:val="24"/>
              </w:rPr>
              <w:t xml:space="preserve"> </w:t>
            </w:r>
          </w:p>
          <w:p w:rsidR="004B29D2" w:rsidRPr="003F1BCD" w:rsidRDefault="00CE2307" w:rsidP="00CE2307">
            <w:pPr>
              <w:pStyle w:val="NoSpacing"/>
              <w:rPr>
                <w:sz w:val="24"/>
                <w:szCs w:val="24"/>
              </w:rPr>
            </w:pPr>
            <w:r>
              <w:rPr>
                <w:sz w:val="24"/>
                <w:szCs w:val="24"/>
              </w:rPr>
              <w:t>Surveyors are to be employed to advise whether development to the north works economically and practically.  Interviews for tender applicants will take place 8 July.</w:t>
            </w:r>
          </w:p>
        </w:tc>
        <w:tc>
          <w:tcPr>
            <w:tcW w:w="1797" w:type="dxa"/>
          </w:tcPr>
          <w:p w:rsidR="004D695A" w:rsidRPr="003F1BCD" w:rsidRDefault="004D695A" w:rsidP="004D695A">
            <w:pPr>
              <w:pStyle w:val="NoSpacing"/>
              <w:rPr>
                <w:sz w:val="24"/>
                <w:szCs w:val="24"/>
              </w:rPr>
            </w:pPr>
          </w:p>
          <w:p w:rsidR="009049FD" w:rsidRPr="003F1BCD" w:rsidRDefault="009049FD" w:rsidP="004D695A">
            <w:pPr>
              <w:pStyle w:val="NoSpacing"/>
              <w:rPr>
                <w:sz w:val="24"/>
                <w:szCs w:val="24"/>
              </w:rPr>
            </w:pPr>
          </w:p>
          <w:p w:rsidR="00832798" w:rsidRPr="003F1BCD" w:rsidRDefault="00CE2307" w:rsidP="004D695A">
            <w:pPr>
              <w:pStyle w:val="NoSpacing"/>
              <w:rPr>
                <w:sz w:val="24"/>
                <w:szCs w:val="24"/>
              </w:rPr>
            </w:pPr>
            <w:r>
              <w:rPr>
                <w:sz w:val="24"/>
                <w:szCs w:val="24"/>
              </w:rPr>
              <w:t xml:space="preserve">JW/MC/Bob </w:t>
            </w:r>
            <w:proofErr w:type="spellStart"/>
            <w:r>
              <w:rPr>
                <w:sz w:val="24"/>
                <w:szCs w:val="24"/>
              </w:rPr>
              <w:t>Entwistle</w:t>
            </w:r>
            <w:proofErr w:type="spellEnd"/>
          </w:p>
          <w:p w:rsidR="00A428FD" w:rsidRPr="003F1BCD" w:rsidRDefault="00A428FD" w:rsidP="004D695A">
            <w:pPr>
              <w:pStyle w:val="NoSpacing"/>
              <w:rPr>
                <w:sz w:val="24"/>
                <w:szCs w:val="24"/>
              </w:rPr>
            </w:pPr>
          </w:p>
        </w:tc>
      </w:tr>
      <w:tr w:rsidR="00BE30D1" w:rsidRPr="003F1BCD" w:rsidTr="00A428FD">
        <w:tc>
          <w:tcPr>
            <w:tcW w:w="949" w:type="dxa"/>
          </w:tcPr>
          <w:p w:rsidR="00BE30D1" w:rsidRPr="003F1BCD" w:rsidRDefault="00A428FD" w:rsidP="004D695A">
            <w:pPr>
              <w:pStyle w:val="NoSpacing"/>
              <w:rPr>
                <w:sz w:val="24"/>
                <w:szCs w:val="24"/>
              </w:rPr>
            </w:pPr>
            <w:r w:rsidRPr="003F1BCD">
              <w:rPr>
                <w:sz w:val="24"/>
                <w:szCs w:val="24"/>
              </w:rPr>
              <w:t>7</w:t>
            </w:r>
            <w:r w:rsidR="00BE30D1" w:rsidRPr="003F1BCD">
              <w:rPr>
                <w:sz w:val="24"/>
                <w:szCs w:val="24"/>
              </w:rPr>
              <w:t>.</w:t>
            </w:r>
          </w:p>
        </w:tc>
        <w:tc>
          <w:tcPr>
            <w:tcW w:w="6496" w:type="dxa"/>
          </w:tcPr>
          <w:p w:rsidR="00A428FD" w:rsidRPr="003F1BCD" w:rsidRDefault="00CE2307" w:rsidP="00A428FD">
            <w:pPr>
              <w:pStyle w:val="NoSpacing"/>
              <w:rPr>
                <w:b/>
                <w:sz w:val="24"/>
                <w:szCs w:val="24"/>
              </w:rPr>
            </w:pPr>
            <w:r>
              <w:rPr>
                <w:b/>
                <w:sz w:val="24"/>
                <w:szCs w:val="24"/>
              </w:rPr>
              <w:t>Review of Revised Project Plan:</w:t>
            </w:r>
          </w:p>
          <w:p w:rsidR="00832798" w:rsidRPr="003F1BCD" w:rsidRDefault="00CE2307" w:rsidP="00CE2307">
            <w:pPr>
              <w:pStyle w:val="NoSpacing"/>
              <w:rPr>
                <w:sz w:val="24"/>
                <w:szCs w:val="24"/>
              </w:rPr>
            </w:pPr>
            <w:r>
              <w:rPr>
                <w:sz w:val="24"/>
                <w:szCs w:val="24"/>
              </w:rPr>
              <w:t>Aiming to go to referendum mid 2014.  JW to start drafting the policies for the plan.</w:t>
            </w:r>
          </w:p>
        </w:tc>
        <w:tc>
          <w:tcPr>
            <w:tcW w:w="1797" w:type="dxa"/>
          </w:tcPr>
          <w:p w:rsidR="009078AC" w:rsidRPr="003F1BCD" w:rsidRDefault="009078AC" w:rsidP="004D695A">
            <w:pPr>
              <w:pStyle w:val="NoSpacing"/>
              <w:rPr>
                <w:sz w:val="24"/>
                <w:szCs w:val="24"/>
              </w:rPr>
            </w:pPr>
          </w:p>
          <w:p w:rsidR="00832798" w:rsidRPr="003F1BCD" w:rsidRDefault="00CE2307" w:rsidP="004D695A">
            <w:pPr>
              <w:pStyle w:val="NoSpacing"/>
              <w:rPr>
                <w:sz w:val="24"/>
                <w:szCs w:val="24"/>
              </w:rPr>
            </w:pPr>
            <w:r>
              <w:rPr>
                <w:sz w:val="24"/>
                <w:szCs w:val="24"/>
              </w:rPr>
              <w:t>JW</w:t>
            </w:r>
          </w:p>
          <w:p w:rsidR="00832798" w:rsidRPr="003F1BCD" w:rsidRDefault="00832798" w:rsidP="004D695A">
            <w:pPr>
              <w:pStyle w:val="NoSpacing"/>
              <w:rPr>
                <w:sz w:val="24"/>
                <w:szCs w:val="24"/>
              </w:rPr>
            </w:pPr>
          </w:p>
        </w:tc>
      </w:tr>
      <w:tr w:rsidR="00E60F36" w:rsidRPr="003F1BCD" w:rsidTr="00A428FD">
        <w:tc>
          <w:tcPr>
            <w:tcW w:w="949" w:type="dxa"/>
          </w:tcPr>
          <w:p w:rsidR="00E60F36" w:rsidRPr="003F1BCD" w:rsidRDefault="00E60F36" w:rsidP="004D695A">
            <w:pPr>
              <w:pStyle w:val="NoSpacing"/>
              <w:rPr>
                <w:sz w:val="24"/>
                <w:szCs w:val="24"/>
              </w:rPr>
            </w:pPr>
            <w:r>
              <w:rPr>
                <w:sz w:val="24"/>
                <w:szCs w:val="24"/>
              </w:rPr>
              <w:t>8.</w:t>
            </w:r>
          </w:p>
        </w:tc>
        <w:tc>
          <w:tcPr>
            <w:tcW w:w="6496" w:type="dxa"/>
          </w:tcPr>
          <w:p w:rsidR="00E60F36" w:rsidRDefault="00CE2307" w:rsidP="00A428FD">
            <w:pPr>
              <w:pStyle w:val="NoSpacing"/>
              <w:rPr>
                <w:b/>
                <w:sz w:val="24"/>
                <w:szCs w:val="24"/>
              </w:rPr>
            </w:pPr>
            <w:r>
              <w:rPr>
                <w:b/>
                <w:sz w:val="24"/>
                <w:szCs w:val="24"/>
              </w:rPr>
              <w:t>Review of Draft Policy Areas for Neighbourhood Plan</w:t>
            </w:r>
            <w:r w:rsidR="00E60F36">
              <w:rPr>
                <w:b/>
                <w:sz w:val="24"/>
                <w:szCs w:val="24"/>
              </w:rPr>
              <w:t>:</w:t>
            </w:r>
          </w:p>
          <w:p w:rsidR="00E60F36" w:rsidRPr="006849A2" w:rsidRDefault="00CE2307" w:rsidP="00CE2307">
            <w:pPr>
              <w:pStyle w:val="NoSpacing"/>
              <w:rPr>
                <w:sz w:val="24"/>
                <w:szCs w:val="24"/>
              </w:rPr>
            </w:pPr>
            <w:r>
              <w:rPr>
                <w:sz w:val="24"/>
                <w:szCs w:val="24"/>
              </w:rPr>
              <w:t xml:space="preserve">The Project Group went through the objectives as raised in the </w:t>
            </w:r>
            <w:r>
              <w:rPr>
                <w:sz w:val="24"/>
                <w:szCs w:val="24"/>
              </w:rPr>
              <w:lastRenderedPageBreak/>
              <w:t>consultation.  It was agreed that some objectives can be taken out and dealt with separately as key objectives.  JW to email objective suggestions to all of Project Group for feedback.  JW to work on and report back at next meeting.</w:t>
            </w:r>
          </w:p>
        </w:tc>
        <w:tc>
          <w:tcPr>
            <w:tcW w:w="1797" w:type="dxa"/>
          </w:tcPr>
          <w:p w:rsidR="00E60F36" w:rsidRDefault="00E60F36" w:rsidP="004D695A">
            <w:pPr>
              <w:pStyle w:val="NoSpacing"/>
              <w:rPr>
                <w:sz w:val="24"/>
                <w:szCs w:val="24"/>
              </w:rPr>
            </w:pPr>
          </w:p>
          <w:p w:rsidR="00CE2307" w:rsidRDefault="00CE2307" w:rsidP="004D695A">
            <w:pPr>
              <w:pStyle w:val="NoSpacing"/>
              <w:rPr>
                <w:sz w:val="24"/>
                <w:szCs w:val="24"/>
              </w:rPr>
            </w:pPr>
          </w:p>
          <w:p w:rsidR="00CE2307" w:rsidRDefault="00CE2307" w:rsidP="004D695A">
            <w:pPr>
              <w:pStyle w:val="NoSpacing"/>
              <w:rPr>
                <w:sz w:val="24"/>
                <w:szCs w:val="24"/>
              </w:rPr>
            </w:pPr>
          </w:p>
          <w:p w:rsidR="00CE2307" w:rsidRPr="003F1BCD" w:rsidRDefault="00CE2307" w:rsidP="004D695A">
            <w:pPr>
              <w:pStyle w:val="NoSpacing"/>
              <w:rPr>
                <w:sz w:val="24"/>
                <w:szCs w:val="24"/>
              </w:rPr>
            </w:pPr>
            <w:r>
              <w:rPr>
                <w:sz w:val="24"/>
                <w:szCs w:val="24"/>
              </w:rPr>
              <w:t>JW</w:t>
            </w:r>
          </w:p>
        </w:tc>
      </w:tr>
      <w:tr w:rsidR="00CE2307" w:rsidRPr="003F1BCD" w:rsidTr="00A428FD">
        <w:tc>
          <w:tcPr>
            <w:tcW w:w="949" w:type="dxa"/>
          </w:tcPr>
          <w:p w:rsidR="00CE2307" w:rsidRDefault="00CE2307" w:rsidP="004D695A">
            <w:pPr>
              <w:pStyle w:val="NoSpacing"/>
              <w:rPr>
                <w:sz w:val="24"/>
                <w:szCs w:val="24"/>
              </w:rPr>
            </w:pPr>
            <w:r>
              <w:rPr>
                <w:sz w:val="24"/>
                <w:szCs w:val="24"/>
              </w:rPr>
              <w:lastRenderedPageBreak/>
              <w:t>9.</w:t>
            </w:r>
          </w:p>
        </w:tc>
        <w:tc>
          <w:tcPr>
            <w:tcW w:w="6496" w:type="dxa"/>
          </w:tcPr>
          <w:p w:rsidR="00CE2307" w:rsidRDefault="00CE2307" w:rsidP="00A428FD">
            <w:pPr>
              <w:pStyle w:val="NoSpacing"/>
              <w:rPr>
                <w:b/>
                <w:sz w:val="24"/>
                <w:szCs w:val="24"/>
              </w:rPr>
            </w:pPr>
            <w:r>
              <w:rPr>
                <w:b/>
                <w:sz w:val="24"/>
                <w:szCs w:val="24"/>
              </w:rPr>
              <w:t>Update on Funding Bid to Locality &amp; Support:</w:t>
            </w:r>
          </w:p>
          <w:p w:rsidR="00CE2307" w:rsidRPr="00CE2307" w:rsidRDefault="00CE2307" w:rsidP="00A428FD">
            <w:pPr>
              <w:pStyle w:val="NoSpacing"/>
              <w:rPr>
                <w:sz w:val="24"/>
                <w:szCs w:val="24"/>
              </w:rPr>
            </w:pPr>
            <w:r>
              <w:rPr>
                <w:sz w:val="24"/>
                <w:szCs w:val="24"/>
              </w:rPr>
              <w:t>Funding application was submitted in early June for £7000 and direct support.  Hope to hear back soon.</w:t>
            </w:r>
          </w:p>
        </w:tc>
        <w:tc>
          <w:tcPr>
            <w:tcW w:w="1797" w:type="dxa"/>
          </w:tcPr>
          <w:p w:rsidR="00CE2307" w:rsidRDefault="00CE2307" w:rsidP="004D695A">
            <w:pPr>
              <w:pStyle w:val="NoSpacing"/>
              <w:rPr>
                <w:sz w:val="24"/>
                <w:szCs w:val="24"/>
              </w:rPr>
            </w:pPr>
          </w:p>
          <w:p w:rsidR="00CE2307" w:rsidRDefault="00CE2307" w:rsidP="004D695A">
            <w:pPr>
              <w:pStyle w:val="NoSpacing"/>
              <w:rPr>
                <w:sz w:val="24"/>
                <w:szCs w:val="24"/>
              </w:rPr>
            </w:pPr>
            <w:r>
              <w:rPr>
                <w:sz w:val="24"/>
                <w:szCs w:val="24"/>
              </w:rPr>
              <w:t>JW/</w:t>
            </w:r>
            <w:proofErr w:type="spellStart"/>
            <w:r>
              <w:rPr>
                <w:sz w:val="24"/>
                <w:szCs w:val="24"/>
              </w:rPr>
              <w:t>RSmart</w:t>
            </w:r>
            <w:proofErr w:type="spellEnd"/>
          </w:p>
        </w:tc>
      </w:tr>
      <w:tr w:rsidR="001D7E77" w:rsidRPr="003F1BCD" w:rsidTr="00A428FD">
        <w:tc>
          <w:tcPr>
            <w:tcW w:w="949" w:type="dxa"/>
          </w:tcPr>
          <w:p w:rsidR="001D7E77" w:rsidRPr="003F1BCD" w:rsidRDefault="00CE2307" w:rsidP="004D695A">
            <w:pPr>
              <w:pStyle w:val="NoSpacing"/>
              <w:rPr>
                <w:sz w:val="24"/>
                <w:szCs w:val="24"/>
              </w:rPr>
            </w:pPr>
            <w:r>
              <w:rPr>
                <w:sz w:val="24"/>
                <w:szCs w:val="24"/>
              </w:rPr>
              <w:t>10</w:t>
            </w:r>
            <w:r w:rsidR="001D7E77" w:rsidRPr="003F1BCD">
              <w:rPr>
                <w:sz w:val="24"/>
                <w:szCs w:val="24"/>
              </w:rPr>
              <w:t>.</w:t>
            </w:r>
          </w:p>
        </w:tc>
        <w:tc>
          <w:tcPr>
            <w:tcW w:w="6496" w:type="dxa"/>
          </w:tcPr>
          <w:p w:rsidR="001D7E77" w:rsidRDefault="001D7E77" w:rsidP="00A428FD">
            <w:pPr>
              <w:pStyle w:val="NoSpacing"/>
              <w:rPr>
                <w:b/>
                <w:sz w:val="24"/>
                <w:szCs w:val="24"/>
              </w:rPr>
            </w:pPr>
            <w:r w:rsidRPr="003F1BCD">
              <w:rPr>
                <w:b/>
                <w:sz w:val="24"/>
                <w:szCs w:val="24"/>
              </w:rPr>
              <w:t>Next Steps:</w:t>
            </w:r>
          </w:p>
          <w:p w:rsidR="00961AEA" w:rsidRDefault="00CE2307" w:rsidP="00961AEA">
            <w:pPr>
              <w:pStyle w:val="NoSpacing"/>
              <w:rPr>
                <w:sz w:val="24"/>
                <w:szCs w:val="24"/>
              </w:rPr>
            </w:pPr>
            <w:r>
              <w:rPr>
                <w:sz w:val="24"/>
                <w:szCs w:val="24"/>
              </w:rPr>
              <w:t>Plan for community “Planning for Real” event in September/October.  Arrange after meeting with landowners/developers.</w:t>
            </w:r>
          </w:p>
          <w:p w:rsidR="00CE2307" w:rsidRDefault="00CE2307" w:rsidP="00961AEA">
            <w:pPr>
              <w:pStyle w:val="NoSpacing"/>
              <w:rPr>
                <w:sz w:val="24"/>
                <w:szCs w:val="24"/>
              </w:rPr>
            </w:pPr>
            <w:r>
              <w:rPr>
                <w:sz w:val="24"/>
                <w:szCs w:val="24"/>
              </w:rPr>
              <w:t>JW to continue to work on evidence base</w:t>
            </w:r>
          </w:p>
          <w:p w:rsidR="00CE2307" w:rsidRPr="00CE2307" w:rsidRDefault="00CE2307" w:rsidP="00961AEA">
            <w:pPr>
              <w:pStyle w:val="NoSpacing"/>
              <w:rPr>
                <w:sz w:val="24"/>
                <w:szCs w:val="24"/>
              </w:rPr>
            </w:pPr>
            <w:proofErr w:type="spellStart"/>
            <w:r>
              <w:rPr>
                <w:sz w:val="24"/>
                <w:szCs w:val="24"/>
              </w:rPr>
              <w:t>RStruss</w:t>
            </w:r>
            <w:proofErr w:type="spellEnd"/>
            <w:r>
              <w:rPr>
                <w:sz w:val="24"/>
                <w:szCs w:val="24"/>
              </w:rPr>
              <w:t xml:space="preserve"> &amp; SS asked if the figures from the last consultation could be put on the Neighbourhood Plan website.  This was agreed.</w:t>
            </w:r>
          </w:p>
        </w:tc>
        <w:tc>
          <w:tcPr>
            <w:tcW w:w="1797" w:type="dxa"/>
          </w:tcPr>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CE2307" w:rsidP="004D695A">
            <w:pPr>
              <w:pStyle w:val="NoSpacing"/>
              <w:rPr>
                <w:sz w:val="24"/>
                <w:szCs w:val="24"/>
              </w:rPr>
            </w:pPr>
            <w:r>
              <w:rPr>
                <w:sz w:val="24"/>
                <w:szCs w:val="24"/>
              </w:rPr>
              <w:t>JW/</w:t>
            </w:r>
            <w:proofErr w:type="spellStart"/>
            <w:r>
              <w:rPr>
                <w:sz w:val="24"/>
                <w:szCs w:val="24"/>
              </w:rPr>
              <w:t>RSmart</w:t>
            </w:r>
            <w:proofErr w:type="spellEnd"/>
          </w:p>
          <w:p w:rsidR="001D7E77" w:rsidRPr="003F1BCD" w:rsidRDefault="001D7E77" w:rsidP="004D695A">
            <w:pPr>
              <w:pStyle w:val="NoSpacing"/>
              <w:rPr>
                <w:sz w:val="24"/>
                <w:szCs w:val="24"/>
              </w:rPr>
            </w:pPr>
          </w:p>
          <w:p w:rsidR="001D7E77" w:rsidRPr="003F1BCD" w:rsidRDefault="00961AEA" w:rsidP="004D695A">
            <w:pPr>
              <w:pStyle w:val="NoSpacing"/>
              <w:rPr>
                <w:sz w:val="24"/>
                <w:szCs w:val="24"/>
              </w:rPr>
            </w:pPr>
            <w:r>
              <w:rPr>
                <w:sz w:val="24"/>
                <w:szCs w:val="24"/>
              </w:rPr>
              <w:t xml:space="preserve">JW </w:t>
            </w:r>
          </w:p>
          <w:p w:rsidR="001D7E77" w:rsidRPr="003F1BCD" w:rsidRDefault="001D7E77" w:rsidP="004D695A">
            <w:pPr>
              <w:pStyle w:val="NoSpacing"/>
              <w:rPr>
                <w:sz w:val="24"/>
                <w:szCs w:val="24"/>
              </w:rPr>
            </w:pPr>
          </w:p>
          <w:p w:rsidR="00961AEA" w:rsidRPr="003F1BCD" w:rsidRDefault="00961AEA" w:rsidP="00CE2307">
            <w:pPr>
              <w:pStyle w:val="NoSpacing"/>
              <w:rPr>
                <w:sz w:val="24"/>
                <w:szCs w:val="24"/>
              </w:rPr>
            </w:pPr>
            <w:r>
              <w:rPr>
                <w:sz w:val="24"/>
                <w:szCs w:val="24"/>
              </w:rPr>
              <w:t>JW</w:t>
            </w:r>
            <w:r w:rsidR="00CE2307">
              <w:rPr>
                <w:sz w:val="24"/>
                <w:szCs w:val="24"/>
              </w:rPr>
              <w:t>/AR</w:t>
            </w:r>
          </w:p>
        </w:tc>
      </w:tr>
      <w:tr w:rsidR="009049FD" w:rsidRPr="003F1BCD" w:rsidTr="00A428FD">
        <w:tc>
          <w:tcPr>
            <w:tcW w:w="949" w:type="dxa"/>
          </w:tcPr>
          <w:p w:rsidR="009049FD" w:rsidRPr="003F1BCD" w:rsidRDefault="00CE2307" w:rsidP="004D695A">
            <w:pPr>
              <w:pStyle w:val="NoSpacing"/>
              <w:rPr>
                <w:sz w:val="24"/>
                <w:szCs w:val="24"/>
              </w:rPr>
            </w:pPr>
            <w:r>
              <w:rPr>
                <w:sz w:val="24"/>
                <w:szCs w:val="24"/>
              </w:rPr>
              <w:t>11</w:t>
            </w:r>
            <w:r w:rsidR="001D7E77" w:rsidRPr="003F1BCD">
              <w:rPr>
                <w:sz w:val="24"/>
                <w:szCs w:val="24"/>
              </w:rPr>
              <w:t>.</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E87DEE" w:rsidP="004D695A">
            <w:pPr>
              <w:pStyle w:val="NoSpacing"/>
              <w:rPr>
                <w:sz w:val="24"/>
                <w:szCs w:val="24"/>
              </w:rPr>
            </w:pPr>
            <w:r>
              <w:rPr>
                <w:sz w:val="24"/>
                <w:szCs w:val="24"/>
              </w:rPr>
              <w:t>Thursday 18 July</w:t>
            </w:r>
            <w:r w:rsidR="00961AEA">
              <w:rPr>
                <w:sz w:val="24"/>
                <w:szCs w:val="24"/>
              </w:rPr>
              <w:t xml:space="preserve"> 2013</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96AF4"/>
    <w:rsid w:val="000C2105"/>
    <w:rsid w:val="000C4493"/>
    <w:rsid w:val="000D6C6A"/>
    <w:rsid w:val="001A26F3"/>
    <w:rsid w:val="001B78A8"/>
    <w:rsid w:val="001D7E77"/>
    <w:rsid w:val="00207248"/>
    <w:rsid w:val="00235ECF"/>
    <w:rsid w:val="00274244"/>
    <w:rsid w:val="002F551A"/>
    <w:rsid w:val="00316852"/>
    <w:rsid w:val="00332B67"/>
    <w:rsid w:val="0033389A"/>
    <w:rsid w:val="003F1BCD"/>
    <w:rsid w:val="004637EB"/>
    <w:rsid w:val="00494F2F"/>
    <w:rsid w:val="004B29D2"/>
    <w:rsid w:val="004D695A"/>
    <w:rsid w:val="004E4054"/>
    <w:rsid w:val="005470DA"/>
    <w:rsid w:val="00604A28"/>
    <w:rsid w:val="00617E4E"/>
    <w:rsid w:val="0063610A"/>
    <w:rsid w:val="006849A2"/>
    <w:rsid w:val="00691DA0"/>
    <w:rsid w:val="006970B4"/>
    <w:rsid w:val="006C2F4B"/>
    <w:rsid w:val="006F6FD3"/>
    <w:rsid w:val="00743749"/>
    <w:rsid w:val="007819B9"/>
    <w:rsid w:val="007A11DC"/>
    <w:rsid w:val="007B7BE7"/>
    <w:rsid w:val="00832798"/>
    <w:rsid w:val="008470E0"/>
    <w:rsid w:val="008778EF"/>
    <w:rsid w:val="008A116D"/>
    <w:rsid w:val="008C6AB2"/>
    <w:rsid w:val="009049FD"/>
    <w:rsid w:val="009078AC"/>
    <w:rsid w:val="00952F76"/>
    <w:rsid w:val="00961AEA"/>
    <w:rsid w:val="009633B3"/>
    <w:rsid w:val="009A6C1E"/>
    <w:rsid w:val="009B47A9"/>
    <w:rsid w:val="009D125C"/>
    <w:rsid w:val="00A428FD"/>
    <w:rsid w:val="00AA40E2"/>
    <w:rsid w:val="00AC20FE"/>
    <w:rsid w:val="00B83E37"/>
    <w:rsid w:val="00BB45A5"/>
    <w:rsid w:val="00BB61A7"/>
    <w:rsid w:val="00BC1D48"/>
    <w:rsid w:val="00BE30D1"/>
    <w:rsid w:val="00C7321B"/>
    <w:rsid w:val="00C827B1"/>
    <w:rsid w:val="00CB515E"/>
    <w:rsid w:val="00CB724A"/>
    <w:rsid w:val="00CD0CB6"/>
    <w:rsid w:val="00CE2307"/>
    <w:rsid w:val="00D14B7C"/>
    <w:rsid w:val="00D8313E"/>
    <w:rsid w:val="00D84A2A"/>
    <w:rsid w:val="00E53262"/>
    <w:rsid w:val="00E60F36"/>
    <w:rsid w:val="00E87DEE"/>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2</cp:revision>
  <cp:lastPrinted>2013-05-07T15:36:00Z</cp:lastPrinted>
  <dcterms:created xsi:type="dcterms:W3CDTF">2013-07-18T09:51:00Z</dcterms:created>
  <dcterms:modified xsi:type="dcterms:W3CDTF">2013-07-18T09:51:00Z</dcterms:modified>
</cp:coreProperties>
</file>